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99F" w:rsidRPr="0090099F" w:rsidRDefault="0090099F" w:rsidP="0090099F">
      <w:pPr>
        <w:spacing w:line="240" w:lineRule="auto"/>
        <w:jc w:val="center"/>
        <w:rPr>
          <w:rFonts w:eastAsia="Times New Roman" w:cs="Times New Roman"/>
          <w:color w:val="auto"/>
          <w:szCs w:val="24"/>
          <w:lang w:val="es-CO"/>
        </w:rPr>
      </w:pPr>
      <w:r w:rsidRPr="0090099F">
        <w:rPr>
          <w:rFonts w:ascii="Segoe UI" w:eastAsia="Times New Roman" w:hAnsi="Segoe UI" w:cs="Segoe UI"/>
          <w:b/>
          <w:color w:val="0000FF"/>
          <w:sz w:val="28"/>
          <w:szCs w:val="20"/>
          <w:lang w:val="es-CO"/>
        </w:rPr>
        <w:t>OFICIO Nº 000101</w:t>
      </w:r>
    </w:p>
    <w:p w:rsidR="0090099F" w:rsidRPr="0090099F" w:rsidRDefault="0090099F" w:rsidP="0090099F">
      <w:pPr>
        <w:spacing w:line="240" w:lineRule="auto"/>
        <w:jc w:val="center"/>
        <w:rPr>
          <w:rFonts w:eastAsia="Times New Roman" w:cs="Times New Roman"/>
          <w:color w:val="auto"/>
          <w:szCs w:val="24"/>
          <w:lang w:val="es-CO"/>
        </w:rPr>
      </w:pPr>
      <w:r w:rsidRPr="0090099F">
        <w:rPr>
          <w:rFonts w:ascii="Segoe UI" w:eastAsia="Times New Roman" w:hAnsi="Segoe UI" w:cs="Segoe UI"/>
          <w:b/>
          <w:color w:val="0000FF"/>
          <w:sz w:val="28"/>
          <w:szCs w:val="20"/>
          <w:lang w:val="es-CO"/>
        </w:rPr>
        <w:t>12-02-2018</w:t>
      </w:r>
    </w:p>
    <w:p w:rsidR="0090099F" w:rsidRPr="0090099F" w:rsidRDefault="0090099F" w:rsidP="0090099F">
      <w:pPr>
        <w:spacing w:line="240" w:lineRule="auto"/>
        <w:jc w:val="center"/>
        <w:rPr>
          <w:rFonts w:eastAsia="Times New Roman" w:cs="Times New Roman"/>
          <w:color w:val="auto"/>
          <w:szCs w:val="24"/>
          <w:lang w:val="es-CO"/>
        </w:rPr>
      </w:pPr>
      <w:r w:rsidRPr="0090099F">
        <w:rPr>
          <w:rFonts w:ascii="Segoe UI" w:eastAsia="Times New Roman" w:hAnsi="Segoe UI" w:cs="Segoe UI"/>
          <w:b/>
          <w:color w:val="0000FF"/>
          <w:sz w:val="28"/>
          <w:szCs w:val="20"/>
          <w:lang w:val="es-CO"/>
        </w:rPr>
        <w:t>DIAN</w:t>
      </w:r>
    </w:p>
    <w:p w:rsidR="0090099F" w:rsidRPr="0090099F" w:rsidRDefault="0090099F" w:rsidP="0090099F">
      <w:pPr>
        <w:spacing w:line="240" w:lineRule="auto"/>
        <w:rPr>
          <w:rFonts w:eastAsia="Times New Roman" w:cs="Times New Roman"/>
          <w:color w:val="auto"/>
          <w:szCs w:val="24"/>
          <w:lang w:val="es-CO"/>
        </w:rPr>
      </w:pPr>
      <w:r w:rsidRPr="0090099F">
        <w:rPr>
          <w:rFonts w:ascii="Segoe UI" w:eastAsia="Times New Roman" w:hAnsi="Segoe UI" w:cs="Segoe UI"/>
          <w:b/>
          <w:color w:val="0000FF"/>
          <w:szCs w:val="20"/>
          <w:lang w:val="es-CO"/>
        </w:rPr>
        <w:t> </w:t>
      </w:r>
    </w:p>
    <w:p w:rsidR="0090099F" w:rsidRPr="0090099F" w:rsidRDefault="0090099F" w:rsidP="0090099F">
      <w:pPr>
        <w:spacing w:line="240" w:lineRule="auto"/>
        <w:rPr>
          <w:rFonts w:eastAsia="Times New Roman" w:cs="Times New Roman"/>
          <w:color w:val="auto"/>
          <w:szCs w:val="24"/>
          <w:lang w:val="es-CO"/>
        </w:rPr>
      </w:pPr>
      <w:r w:rsidRPr="0090099F">
        <w:rPr>
          <w:rFonts w:ascii="Segoe UI" w:eastAsia="Times New Roman" w:hAnsi="Segoe UI" w:cs="Segoe UI"/>
          <w:b/>
          <w:color w:val="0000FF"/>
          <w:szCs w:val="20"/>
          <w:lang w:val="es-CO"/>
        </w:rPr>
        <w:t> </w:t>
      </w:r>
    </w:p>
    <w:p w:rsidR="0090099F" w:rsidRPr="0090099F" w:rsidRDefault="0090099F" w:rsidP="0090099F">
      <w:pPr>
        <w:spacing w:line="240" w:lineRule="auto"/>
        <w:rPr>
          <w:rFonts w:eastAsia="Times New Roman" w:cs="Times New Roman"/>
          <w:color w:val="auto"/>
          <w:szCs w:val="24"/>
          <w:lang w:val="es-CO"/>
        </w:rPr>
      </w:pPr>
      <w:r w:rsidRPr="0090099F">
        <w:rPr>
          <w:rFonts w:ascii="Segoe UI" w:eastAsia="Times New Roman" w:hAnsi="Segoe UI" w:cs="Segoe UI"/>
          <w:color w:val="auto"/>
          <w:szCs w:val="20"/>
          <w:lang w:val="es-CO"/>
        </w:rPr>
        <w:t>Subdirección de Gestión Normativa y Doctrina</w:t>
      </w:r>
    </w:p>
    <w:p w:rsidR="0090099F" w:rsidRPr="0090099F" w:rsidRDefault="0090099F" w:rsidP="0090099F">
      <w:pPr>
        <w:spacing w:line="240" w:lineRule="auto"/>
        <w:rPr>
          <w:rFonts w:eastAsia="Times New Roman" w:cs="Times New Roman"/>
          <w:color w:val="auto"/>
          <w:szCs w:val="24"/>
          <w:lang w:val="es-CO"/>
        </w:rPr>
      </w:pPr>
      <w:r w:rsidRPr="0090099F">
        <w:rPr>
          <w:rFonts w:ascii="Segoe UI" w:eastAsia="Times New Roman" w:hAnsi="Segoe UI" w:cs="Segoe UI"/>
          <w:color w:val="auto"/>
          <w:szCs w:val="20"/>
          <w:lang w:val="es-CO"/>
        </w:rPr>
        <w:t>Bogotá, D.C.</w:t>
      </w:r>
    </w:p>
    <w:p w:rsidR="0090099F" w:rsidRPr="0090099F" w:rsidRDefault="0090099F" w:rsidP="0090099F">
      <w:pPr>
        <w:spacing w:line="240" w:lineRule="auto"/>
        <w:rPr>
          <w:rFonts w:eastAsia="Times New Roman" w:cs="Times New Roman"/>
          <w:color w:val="auto"/>
          <w:szCs w:val="24"/>
          <w:lang w:val="es-CO"/>
        </w:rPr>
      </w:pPr>
      <w:r w:rsidRPr="0090099F">
        <w:rPr>
          <w:rFonts w:ascii="Segoe UI" w:eastAsia="Times New Roman" w:hAnsi="Segoe UI" w:cs="Segoe UI"/>
          <w:color w:val="auto"/>
          <w:szCs w:val="20"/>
          <w:lang w:val="es-CO"/>
        </w:rPr>
        <w:t>100208221- 000101</w:t>
      </w:r>
    </w:p>
    <w:p w:rsidR="0090099F" w:rsidRPr="0090099F" w:rsidRDefault="0090099F" w:rsidP="0090099F">
      <w:pPr>
        <w:spacing w:line="240" w:lineRule="auto"/>
        <w:rPr>
          <w:rFonts w:eastAsia="Times New Roman" w:cs="Times New Roman"/>
          <w:color w:val="auto"/>
          <w:szCs w:val="24"/>
          <w:lang w:val="es-CO"/>
        </w:rPr>
      </w:pPr>
      <w:r w:rsidRPr="0090099F">
        <w:rPr>
          <w:rFonts w:ascii="Segoe UI" w:eastAsia="Times New Roman" w:hAnsi="Segoe UI" w:cs="Segoe UI"/>
          <w:color w:val="auto"/>
          <w:szCs w:val="20"/>
          <w:lang w:val="es-CO"/>
        </w:rPr>
        <w:t> </w:t>
      </w:r>
    </w:p>
    <w:p w:rsidR="0090099F" w:rsidRPr="0090099F" w:rsidRDefault="0090099F" w:rsidP="0090099F">
      <w:pPr>
        <w:spacing w:line="240" w:lineRule="auto"/>
        <w:rPr>
          <w:rFonts w:eastAsia="Times New Roman" w:cs="Times New Roman"/>
          <w:color w:val="auto"/>
          <w:szCs w:val="24"/>
          <w:lang w:val="es-CO"/>
        </w:rPr>
      </w:pPr>
      <w:r w:rsidRPr="0090099F">
        <w:rPr>
          <w:rFonts w:ascii="Segoe UI" w:eastAsia="Times New Roman" w:hAnsi="Segoe UI" w:cs="Segoe UI"/>
          <w:color w:val="auto"/>
          <w:szCs w:val="20"/>
          <w:lang w:val="es-CO"/>
        </w:rPr>
        <w:t>Señor</w:t>
      </w:r>
    </w:p>
    <w:p w:rsidR="0090099F" w:rsidRPr="0090099F" w:rsidRDefault="0090099F" w:rsidP="0090099F">
      <w:pPr>
        <w:spacing w:line="240" w:lineRule="auto"/>
        <w:rPr>
          <w:rFonts w:eastAsia="Times New Roman" w:cs="Times New Roman"/>
          <w:color w:val="auto"/>
          <w:szCs w:val="24"/>
          <w:lang w:val="es-CO"/>
        </w:rPr>
      </w:pPr>
      <w:r w:rsidRPr="0090099F">
        <w:rPr>
          <w:rFonts w:ascii="Segoe UI" w:eastAsia="Times New Roman" w:hAnsi="Segoe UI" w:cs="Segoe UI"/>
          <w:b/>
          <w:color w:val="auto"/>
          <w:szCs w:val="20"/>
          <w:lang w:val="es-CO"/>
        </w:rPr>
        <w:t>JORGE ALBERTO BRAVO RUBIANO</w:t>
      </w:r>
    </w:p>
    <w:p w:rsidR="0090099F" w:rsidRPr="0090099F" w:rsidRDefault="0090099F" w:rsidP="0090099F">
      <w:pPr>
        <w:spacing w:line="240" w:lineRule="auto"/>
        <w:rPr>
          <w:rFonts w:eastAsia="Times New Roman" w:cs="Times New Roman"/>
          <w:color w:val="auto"/>
          <w:szCs w:val="24"/>
          <w:lang w:val="es-CO"/>
        </w:rPr>
      </w:pPr>
      <w:r w:rsidRPr="0090099F">
        <w:rPr>
          <w:rFonts w:ascii="Segoe UI" w:eastAsia="Times New Roman" w:hAnsi="Segoe UI" w:cs="Segoe UI"/>
          <w:color w:val="auto"/>
          <w:szCs w:val="20"/>
          <w:lang w:val="es-CO"/>
        </w:rPr>
        <w:t>jabrubiano@gmail.com</w:t>
      </w:r>
    </w:p>
    <w:p w:rsidR="0090099F" w:rsidRPr="0090099F" w:rsidRDefault="0090099F" w:rsidP="0090099F">
      <w:pPr>
        <w:spacing w:line="240" w:lineRule="auto"/>
        <w:rPr>
          <w:rFonts w:eastAsia="Times New Roman" w:cs="Times New Roman"/>
          <w:color w:val="auto"/>
          <w:szCs w:val="24"/>
          <w:lang w:val="es-CO"/>
        </w:rPr>
      </w:pPr>
      <w:r w:rsidRPr="0090099F">
        <w:rPr>
          <w:rFonts w:ascii="Segoe UI" w:eastAsia="Times New Roman" w:hAnsi="Segoe UI" w:cs="Segoe UI"/>
          <w:color w:val="auto"/>
          <w:szCs w:val="20"/>
          <w:lang w:val="es-CO"/>
        </w:rPr>
        <w:t> </w:t>
      </w:r>
    </w:p>
    <w:p w:rsidR="0090099F" w:rsidRPr="0090099F" w:rsidRDefault="0090099F" w:rsidP="0090099F">
      <w:pPr>
        <w:spacing w:line="240" w:lineRule="auto"/>
        <w:rPr>
          <w:rFonts w:eastAsia="Times New Roman" w:cs="Times New Roman"/>
          <w:color w:val="auto"/>
          <w:szCs w:val="24"/>
          <w:lang w:val="es-CO"/>
        </w:rPr>
      </w:pPr>
      <w:proofErr w:type="spellStart"/>
      <w:r w:rsidRPr="0090099F">
        <w:rPr>
          <w:rFonts w:ascii="Segoe UI" w:eastAsia="Times New Roman" w:hAnsi="Segoe UI" w:cs="Segoe UI"/>
          <w:b/>
          <w:color w:val="auto"/>
          <w:szCs w:val="20"/>
          <w:lang w:val="es-CO"/>
        </w:rPr>
        <w:t>Ref</w:t>
      </w:r>
      <w:proofErr w:type="spellEnd"/>
      <w:r w:rsidRPr="0090099F">
        <w:rPr>
          <w:rFonts w:ascii="Segoe UI" w:eastAsia="Times New Roman" w:hAnsi="Segoe UI" w:cs="Segoe UI"/>
          <w:b/>
          <w:color w:val="auto"/>
          <w:szCs w:val="20"/>
          <w:lang w:val="es-CO"/>
        </w:rPr>
        <w:t>:</w:t>
      </w:r>
      <w:r w:rsidRPr="0090099F">
        <w:rPr>
          <w:rFonts w:ascii="Segoe UI" w:eastAsia="Times New Roman" w:hAnsi="Segoe UI" w:cs="Segoe UI"/>
          <w:color w:val="auto"/>
          <w:szCs w:val="20"/>
          <w:lang w:val="es-CO"/>
        </w:rPr>
        <w:t xml:space="preserve"> Radicado 100075280 del 17/11/2017</w:t>
      </w:r>
    </w:p>
    <w:p w:rsidR="0090099F" w:rsidRPr="0090099F" w:rsidRDefault="0090099F" w:rsidP="0090099F">
      <w:pPr>
        <w:spacing w:line="240" w:lineRule="auto"/>
        <w:rPr>
          <w:rFonts w:eastAsia="Times New Roman" w:cs="Times New Roman"/>
          <w:color w:val="auto"/>
          <w:szCs w:val="24"/>
          <w:lang w:val="es-CO"/>
        </w:rPr>
      </w:pPr>
      <w:r w:rsidRPr="0090099F">
        <w:rPr>
          <w:rFonts w:ascii="Segoe UI" w:eastAsia="Times New Roman" w:hAnsi="Segoe UI" w:cs="Segoe UI"/>
          <w:color w:val="auto"/>
          <w:szCs w:val="20"/>
          <w:lang w:val="es-CO"/>
        </w:rPr>
        <w:t> </w:t>
      </w:r>
    </w:p>
    <w:p w:rsidR="0090099F" w:rsidRPr="0090099F" w:rsidRDefault="0090099F" w:rsidP="0090099F">
      <w:pPr>
        <w:spacing w:line="240" w:lineRule="auto"/>
        <w:rPr>
          <w:rFonts w:eastAsia="Times New Roman" w:cs="Times New Roman"/>
          <w:color w:val="auto"/>
          <w:szCs w:val="24"/>
          <w:lang w:val="es-CO"/>
        </w:rPr>
      </w:pPr>
      <w:r w:rsidRPr="0090099F">
        <w:rPr>
          <w:rFonts w:ascii="Segoe UI" w:eastAsia="Times New Roman" w:hAnsi="Segoe UI" w:cs="Segoe UI"/>
          <w:color w:val="auto"/>
          <w:szCs w:val="20"/>
          <w:lang w:val="es-CO"/>
        </w:rPr>
        <w:t>Cordial saludo, Sr. Bravo.</w:t>
      </w:r>
    </w:p>
    <w:p w:rsidR="0090099F" w:rsidRPr="0090099F" w:rsidRDefault="0090099F" w:rsidP="0090099F">
      <w:pPr>
        <w:spacing w:line="240" w:lineRule="auto"/>
        <w:rPr>
          <w:rFonts w:eastAsia="Times New Roman" w:cs="Times New Roman"/>
          <w:color w:val="auto"/>
          <w:szCs w:val="24"/>
          <w:lang w:val="es-CO"/>
        </w:rPr>
      </w:pPr>
      <w:r w:rsidRPr="0090099F">
        <w:rPr>
          <w:rFonts w:ascii="Segoe UI" w:eastAsia="Times New Roman" w:hAnsi="Segoe UI" w:cs="Segoe UI"/>
          <w:color w:val="auto"/>
          <w:szCs w:val="20"/>
          <w:lang w:val="es-CO"/>
        </w:rPr>
        <w:t> </w:t>
      </w:r>
    </w:p>
    <w:p w:rsidR="0090099F" w:rsidRPr="0090099F" w:rsidRDefault="0090099F" w:rsidP="0090099F">
      <w:pPr>
        <w:spacing w:line="240" w:lineRule="auto"/>
        <w:rPr>
          <w:rFonts w:eastAsia="Times New Roman" w:cs="Times New Roman"/>
          <w:color w:val="auto"/>
          <w:szCs w:val="24"/>
          <w:lang w:val="es-CO"/>
        </w:rPr>
      </w:pPr>
      <w:r w:rsidRPr="0090099F">
        <w:rPr>
          <w:rFonts w:ascii="Segoe UI" w:eastAsia="Times New Roman" w:hAnsi="Segoe UI" w:cs="Segoe UI"/>
          <w:color w:val="auto"/>
          <w:szCs w:val="20"/>
          <w:lang w:val="es-CO"/>
        </w:rPr>
        <w:t>De conformidad con el artículo 20 del Decreto 4048 de 2008 es función de esta Subdirección absolver de modo general las consultas escritas que se formulen sobre interpretación y aplicación de las normas tributarias de carácter nacional, aduaneras y cambiarias en lo de competencia de esta entidad.</w:t>
      </w:r>
    </w:p>
    <w:p w:rsidR="0090099F" w:rsidRPr="0090099F" w:rsidRDefault="0090099F" w:rsidP="0090099F">
      <w:pPr>
        <w:spacing w:line="240" w:lineRule="auto"/>
        <w:rPr>
          <w:rFonts w:eastAsia="Times New Roman" w:cs="Times New Roman"/>
          <w:color w:val="auto"/>
          <w:szCs w:val="24"/>
          <w:lang w:val="es-CO"/>
        </w:rPr>
      </w:pPr>
      <w:r w:rsidRPr="0090099F">
        <w:rPr>
          <w:rFonts w:ascii="Segoe UI" w:eastAsia="Times New Roman" w:hAnsi="Segoe UI" w:cs="Segoe UI"/>
          <w:color w:val="auto"/>
          <w:szCs w:val="20"/>
          <w:lang w:val="es-CO"/>
        </w:rPr>
        <w:t> </w:t>
      </w:r>
    </w:p>
    <w:p w:rsidR="0090099F" w:rsidRPr="0090099F" w:rsidRDefault="0090099F" w:rsidP="0090099F">
      <w:pPr>
        <w:spacing w:line="240" w:lineRule="auto"/>
        <w:rPr>
          <w:rFonts w:eastAsia="Times New Roman" w:cs="Times New Roman"/>
          <w:color w:val="auto"/>
          <w:szCs w:val="24"/>
          <w:lang w:val="es-CO"/>
        </w:rPr>
      </w:pPr>
      <w:r w:rsidRPr="0090099F">
        <w:rPr>
          <w:rFonts w:ascii="Segoe UI" w:eastAsia="Times New Roman" w:hAnsi="Segoe UI" w:cs="Segoe UI"/>
          <w:color w:val="auto"/>
          <w:szCs w:val="20"/>
          <w:lang w:val="es-CO"/>
        </w:rPr>
        <w:t>En primer lugar, es necesario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90099F" w:rsidRPr="0090099F" w:rsidRDefault="0090099F" w:rsidP="0090099F">
      <w:pPr>
        <w:spacing w:line="240" w:lineRule="auto"/>
        <w:rPr>
          <w:rFonts w:eastAsia="Times New Roman" w:cs="Times New Roman"/>
          <w:color w:val="auto"/>
          <w:szCs w:val="24"/>
          <w:lang w:val="es-CO"/>
        </w:rPr>
      </w:pPr>
      <w:r w:rsidRPr="0090099F">
        <w:rPr>
          <w:rFonts w:ascii="Segoe UI" w:eastAsia="Times New Roman" w:hAnsi="Segoe UI" w:cs="Segoe UI"/>
          <w:color w:val="auto"/>
          <w:szCs w:val="20"/>
          <w:lang w:val="es-CO"/>
        </w:rPr>
        <w:t> </w:t>
      </w:r>
    </w:p>
    <w:p w:rsidR="0090099F" w:rsidRPr="0090099F" w:rsidRDefault="0090099F" w:rsidP="0090099F">
      <w:pPr>
        <w:spacing w:line="240" w:lineRule="auto"/>
        <w:rPr>
          <w:rFonts w:eastAsia="Times New Roman" w:cs="Times New Roman"/>
          <w:color w:val="auto"/>
          <w:szCs w:val="24"/>
          <w:lang w:val="es-CO"/>
        </w:rPr>
      </w:pPr>
      <w:r w:rsidRPr="0090099F">
        <w:rPr>
          <w:rFonts w:ascii="Segoe UI" w:eastAsia="Times New Roman" w:hAnsi="Segoe UI" w:cs="Segoe UI"/>
          <w:color w:val="auto"/>
          <w:szCs w:val="20"/>
          <w:lang w:val="es-CO"/>
        </w:rPr>
        <w:t>En igual sentido, los conceptos que se emiten por este despacho tienen como fundamento las circunstancias presentadas en las consultas y buscan atender los supuestos de hecho y derecho expuestos en estas; por ello, se recomienda que la lectura del mismo se haga en forma integral para la comprensión de su alcance, el cual no debe extenderse a situaciones diferentes a las planteadas y estudiadas.</w:t>
      </w:r>
    </w:p>
    <w:p w:rsidR="0090099F" w:rsidRPr="0090099F" w:rsidRDefault="0090099F" w:rsidP="0090099F">
      <w:pPr>
        <w:spacing w:line="240" w:lineRule="auto"/>
        <w:rPr>
          <w:rFonts w:eastAsia="Times New Roman" w:cs="Times New Roman"/>
          <w:color w:val="auto"/>
          <w:szCs w:val="24"/>
          <w:lang w:val="es-CO"/>
        </w:rPr>
      </w:pPr>
      <w:r w:rsidRPr="0090099F">
        <w:rPr>
          <w:rFonts w:ascii="Segoe UI" w:eastAsia="Times New Roman" w:hAnsi="Segoe UI" w:cs="Segoe UI"/>
          <w:color w:val="auto"/>
          <w:szCs w:val="20"/>
          <w:lang w:val="es-CO"/>
        </w:rPr>
        <w:t> </w:t>
      </w:r>
    </w:p>
    <w:p w:rsidR="0090099F" w:rsidRPr="0090099F" w:rsidRDefault="0090099F" w:rsidP="0090099F">
      <w:pPr>
        <w:spacing w:line="240" w:lineRule="auto"/>
        <w:rPr>
          <w:rFonts w:eastAsia="Times New Roman" w:cs="Times New Roman"/>
          <w:color w:val="auto"/>
          <w:szCs w:val="24"/>
          <w:lang w:val="es-CO"/>
        </w:rPr>
      </w:pPr>
      <w:r w:rsidRPr="0090099F">
        <w:rPr>
          <w:rFonts w:ascii="Segoe UI" w:eastAsia="Times New Roman" w:hAnsi="Segoe UI" w:cs="Segoe UI"/>
          <w:color w:val="auto"/>
          <w:szCs w:val="20"/>
          <w:lang w:val="es-CO"/>
        </w:rPr>
        <w:t xml:space="preserve">En la petición allegada vía correo electrónico usted solicita “… </w:t>
      </w:r>
      <w:r w:rsidRPr="0090099F">
        <w:rPr>
          <w:rFonts w:ascii="Segoe UI" w:eastAsia="Times New Roman" w:hAnsi="Segoe UI" w:cs="Segoe UI"/>
          <w:i/>
          <w:color w:val="auto"/>
          <w:szCs w:val="20"/>
          <w:lang w:val="es-CO"/>
        </w:rPr>
        <w:t xml:space="preserve">confirmar si en atención a la modificación por la Ley 1819 de 2016 de los artículos 55 y 126-1 del Estatuto Tributario y del parágrafo 1 del artículo 135 de la Ley 100 de 1993, los aportes voluntarios a pensiones obligatorias </w:t>
      </w:r>
      <w:r w:rsidRPr="0090099F">
        <w:rPr>
          <w:rFonts w:ascii="Segoe UI" w:eastAsia="Times New Roman" w:hAnsi="Segoe UI" w:cs="Segoe UI"/>
          <w:b/>
          <w:i/>
          <w:color w:val="auto"/>
          <w:szCs w:val="20"/>
          <w:lang w:val="es-CO"/>
        </w:rPr>
        <w:t xml:space="preserve">son considerados como un ingreso no constitutivo de renta ni ganancia ocasional”. </w:t>
      </w:r>
      <w:r w:rsidRPr="0090099F">
        <w:rPr>
          <w:rFonts w:ascii="Segoe UI" w:eastAsia="Times New Roman" w:hAnsi="Segoe UI" w:cs="Segoe UI"/>
          <w:color w:val="auto"/>
          <w:szCs w:val="20"/>
          <w:lang w:val="es-CO"/>
        </w:rPr>
        <w:t>(negrilla fuera de texto).</w:t>
      </w:r>
    </w:p>
    <w:p w:rsidR="0090099F" w:rsidRPr="0090099F" w:rsidRDefault="0090099F" w:rsidP="0090099F">
      <w:pPr>
        <w:spacing w:line="240" w:lineRule="auto"/>
        <w:rPr>
          <w:rFonts w:eastAsia="Times New Roman" w:cs="Times New Roman"/>
          <w:color w:val="auto"/>
          <w:szCs w:val="24"/>
          <w:lang w:val="es-CO"/>
        </w:rPr>
      </w:pPr>
      <w:r w:rsidRPr="0090099F">
        <w:rPr>
          <w:rFonts w:ascii="Segoe UI" w:eastAsia="Times New Roman" w:hAnsi="Segoe UI" w:cs="Segoe UI"/>
          <w:color w:val="auto"/>
          <w:szCs w:val="20"/>
          <w:lang w:val="es-CO"/>
        </w:rPr>
        <w:t> </w:t>
      </w:r>
    </w:p>
    <w:p w:rsidR="0090099F" w:rsidRPr="0090099F" w:rsidRDefault="0090099F" w:rsidP="0090099F">
      <w:pPr>
        <w:spacing w:line="240" w:lineRule="auto"/>
        <w:rPr>
          <w:rFonts w:eastAsia="Times New Roman" w:cs="Times New Roman"/>
          <w:color w:val="auto"/>
          <w:szCs w:val="24"/>
          <w:lang w:val="es-CO"/>
        </w:rPr>
      </w:pPr>
      <w:r w:rsidRPr="0090099F">
        <w:rPr>
          <w:rFonts w:ascii="Segoe UI" w:eastAsia="Times New Roman" w:hAnsi="Segoe UI" w:cs="Segoe UI"/>
          <w:color w:val="auto"/>
          <w:szCs w:val="20"/>
          <w:lang w:val="es-CO"/>
        </w:rPr>
        <w:t>Frente a la inquietud planteada por el consultante, resulta pertinente precisar que los Conceptos No. 000976 (Radicado No. 13697) del 1 de junio de 2017 y No. 000193 (Radicado No. 4773) del 24 de febrero de 2017 versan sobre la retención en la fuente aplicable a empleados.</w:t>
      </w:r>
    </w:p>
    <w:p w:rsidR="0090099F" w:rsidRPr="0090099F" w:rsidRDefault="0090099F" w:rsidP="0090099F">
      <w:pPr>
        <w:spacing w:line="240" w:lineRule="auto"/>
        <w:rPr>
          <w:rFonts w:eastAsia="Times New Roman" w:cs="Times New Roman"/>
          <w:color w:val="auto"/>
          <w:szCs w:val="24"/>
          <w:lang w:val="es-CO"/>
        </w:rPr>
      </w:pPr>
      <w:r w:rsidRPr="0090099F">
        <w:rPr>
          <w:rFonts w:ascii="Segoe UI" w:eastAsia="Times New Roman" w:hAnsi="Segoe UI" w:cs="Segoe UI"/>
          <w:color w:val="auto"/>
          <w:szCs w:val="20"/>
          <w:lang w:val="es-CO"/>
        </w:rPr>
        <w:t> </w:t>
      </w:r>
    </w:p>
    <w:p w:rsidR="0090099F" w:rsidRPr="0090099F" w:rsidRDefault="0090099F" w:rsidP="0090099F">
      <w:pPr>
        <w:spacing w:line="240" w:lineRule="auto"/>
        <w:rPr>
          <w:rFonts w:eastAsia="Times New Roman" w:cs="Times New Roman"/>
          <w:color w:val="auto"/>
          <w:szCs w:val="24"/>
          <w:lang w:val="es-CO"/>
        </w:rPr>
      </w:pPr>
      <w:r w:rsidRPr="0090099F">
        <w:rPr>
          <w:rFonts w:ascii="Segoe UI" w:eastAsia="Times New Roman" w:hAnsi="Segoe UI" w:cs="Segoe UI"/>
          <w:color w:val="auto"/>
          <w:szCs w:val="20"/>
          <w:lang w:val="es-CO"/>
        </w:rPr>
        <w:t>Ahora bien, y como quiera que lo pretendido por el peticionario es un pronunciamiento de este despacho en relación con la naturaleza tributaria de los aportes voluntarios a pensiones, cabe citar lo señalado en el artículo 15 de la Ley 1819 de 2016, así:</w:t>
      </w:r>
    </w:p>
    <w:p w:rsidR="0090099F" w:rsidRPr="0090099F" w:rsidRDefault="0090099F" w:rsidP="0090099F">
      <w:pPr>
        <w:spacing w:line="240" w:lineRule="auto"/>
        <w:ind w:left="420"/>
        <w:rPr>
          <w:rFonts w:eastAsia="Times New Roman" w:cs="Times New Roman"/>
          <w:color w:val="auto"/>
          <w:szCs w:val="24"/>
          <w:lang w:val="es-CO"/>
        </w:rPr>
      </w:pPr>
      <w:r w:rsidRPr="0090099F">
        <w:rPr>
          <w:rFonts w:ascii="Segoe UI" w:eastAsia="Times New Roman" w:hAnsi="Segoe UI" w:cs="Segoe UI"/>
          <w:color w:val="auto"/>
          <w:szCs w:val="20"/>
          <w:lang w:val="es-CO"/>
        </w:rPr>
        <w:lastRenderedPageBreak/>
        <w:t> </w:t>
      </w:r>
    </w:p>
    <w:p w:rsidR="0090099F" w:rsidRPr="0090099F" w:rsidRDefault="0090099F" w:rsidP="0090099F">
      <w:pPr>
        <w:spacing w:line="240" w:lineRule="auto"/>
        <w:ind w:left="420"/>
        <w:rPr>
          <w:rFonts w:eastAsia="Times New Roman" w:cs="Times New Roman"/>
          <w:color w:val="auto"/>
          <w:szCs w:val="24"/>
          <w:lang w:val="es-CO"/>
        </w:rPr>
      </w:pPr>
      <w:r w:rsidRPr="0090099F">
        <w:rPr>
          <w:rFonts w:ascii="Segoe UI" w:eastAsia="Times New Roman" w:hAnsi="Segoe UI" w:cs="Segoe UI"/>
          <w:color w:val="auto"/>
          <w:szCs w:val="20"/>
          <w:lang w:val="es-CO"/>
        </w:rPr>
        <w:t>“</w:t>
      </w:r>
      <w:r w:rsidRPr="0090099F">
        <w:rPr>
          <w:rFonts w:ascii="Segoe UI" w:eastAsia="Times New Roman" w:hAnsi="Segoe UI" w:cs="Segoe UI"/>
          <w:b/>
          <w:i/>
          <w:color w:val="auto"/>
          <w:szCs w:val="20"/>
          <w:lang w:val="es-CO"/>
        </w:rPr>
        <w:t xml:space="preserve">ARTÍCULO 15. </w:t>
      </w:r>
      <w:r w:rsidRPr="0090099F">
        <w:rPr>
          <w:rFonts w:ascii="Segoe UI" w:eastAsia="Times New Roman" w:hAnsi="Segoe UI" w:cs="Segoe UI"/>
          <w:i/>
          <w:color w:val="auto"/>
          <w:szCs w:val="20"/>
          <w:lang w:val="es-CO"/>
        </w:rPr>
        <w:t>Modifíquese el artículo 126-1 del Estatuto Tributario, el cual quedará así:</w:t>
      </w:r>
    </w:p>
    <w:p w:rsidR="0090099F" w:rsidRPr="0090099F" w:rsidRDefault="0090099F" w:rsidP="0090099F">
      <w:pPr>
        <w:spacing w:line="240" w:lineRule="auto"/>
        <w:ind w:left="420"/>
        <w:rPr>
          <w:rFonts w:eastAsia="Times New Roman" w:cs="Times New Roman"/>
          <w:color w:val="auto"/>
          <w:szCs w:val="24"/>
          <w:lang w:val="es-CO"/>
        </w:rPr>
      </w:pPr>
      <w:r w:rsidRPr="0090099F">
        <w:rPr>
          <w:rFonts w:ascii="Segoe UI" w:eastAsia="Times New Roman" w:hAnsi="Segoe UI" w:cs="Segoe UI"/>
          <w:b/>
          <w:i/>
          <w:color w:val="auto"/>
          <w:szCs w:val="20"/>
          <w:lang w:val="es-CO"/>
        </w:rPr>
        <w:t> </w:t>
      </w:r>
    </w:p>
    <w:p w:rsidR="0090099F" w:rsidRPr="0090099F" w:rsidRDefault="0090099F" w:rsidP="0090099F">
      <w:pPr>
        <w:spacing w:line="240" w:lineRule="auto"/>
        <w:ind w:left="420"/>
        <w:rPr>
          <w:rFonts w:eastAsia="Times New Roman" w:cs="Times New Roman"/>
          <w:color w:val="auto"/>
          <w:szCs w:val="24"/>
          <w:lang w:val="es-CO"/>
        </w:rPr>
      </w:pPr>
      <w:r w:rsidRPr="0090099F">
        <w:rPr>
          <w:rFonts w:ascii="Segoe UI" w:eastAsia="Times New Roman" w:hAnsi="Segoe UI" w:cs="Segoe UI"/>
          <w:b/>
          <w:i/>
          <w:color w:val="auto"/>
          <w:szCs w:val="20"/>
          <w:lang w:val="es-CO"/>
        </w:rPr>
        <w:t>ARTÍCULO 126-1. DEDUCCIÓN DE CONTRIBUCIONES A FONDOS DE PENSIONES DE JUBILACIÓN E INVALIDEZ Y FONDOS DE CESANTÍAS.</w:t>
      </w:r>
    </w:p>
    <w:p w:rsidR="0090099F" w:rsidRPr="0090099F" w:rsidRDefault="0090099F" w:rsidP="0090099F">
      <w:pPr>
        <w:spacing w:line="240" w:lineRule="auto"/>
        <w:ind w:left="420"/>
        <w:rPr>
          <w:rFonts w:eastAsia="Times New Roman" w:cs="Times New Roman"/>
          <w:color w:val="auto"/>
          <w:szCs w:val="24"/>
          <w:lang w:val="es-CO"/>
        </w:rPr>
      </w:pPr>
      <w:r w:rsidRPr="0090099F">
        <w:rPr>
          <w:rFonts w:ascii="Segoe UI" w:eastAsia="Times New Roman" w:hAnsi="Segoe UI" w:cs="Segoe UI"/>
          <w:i/>
          <w:color w:val="auto"/>
          <w:szCs w:val="20"/>
          <w:lang w:val="es-CO"/>
        </w:rPr>
        <w:t>(…)</w:t>
      </w:r>
    </w:p>
    <w:p w:rsidR="0090099F" w:rsidRPr="0090099F" w:rsidRDefault="0090099F" w:rsidP="0090099F">
      <w:pPr>
        <w:spacing w:line="240" w:lineRule="auto"/>
        <w:ind w:left="420"/>
        <w:rPr>
          <w:rFonts w:eastAsia="Times New Roman" w:cs="Times New Roman"/>
          <w:color w:val="auto"/>
          <w:szCs w:val="24"/>
          <w:lang w:val="es-CO"/>
        </w:rPr>
      </w:pPr>
      <w:r w:rsidRPr="0090099F">
        <w:rPr>
          <w:rFonts w:ascii="Segoe UI" w:eastAsia="Times New Roman" w:hAnsi="Segoe UI" w:cs="Segoe UI"/>
          <w:b/>
          <w:i/>
          <w:color w:val="auto"/>
          <w:szCs w:val="20"/>
          <w:u w:val="single"/>
          <w:lang w:val="es-CO"/>
        </w:rPr>
        <w:t>Los aportes voluntarios que haga el trabajador, el empleador</w:t>
      </w:r>
      <w:r w:rsidRPr="0090099F">
        <w:rPr>
          <w:rFonts w:ascii="Segoe UI" w:eastAsia="Times New Roman" w:hAnsi="Segoe UI" w:cs="Segoe UI"/>
          <w:b/>
          <w:i/>
          <w:color w:val="auto"/>
          <w:szCs w:val="20"/>
          <w:lang w:val="es-CO"/>
        </w:rPr>
        <w:t xml:space="preserve">, </w:t>
      </w:r>
      <w:r w:rsidRPr="0090099F">
        <w:rPr>
          <w:rFonts w:ascii="Segoe UI" w:eastAsia="Times New Roman" w:hAnsi="Segoe UI" w:cs="Segoe UI"/>
          <w:i/>
          <w:color w:val="auto"/>
          <w:szCs w:val="20"/>
          <w:lang w:val="es-CO"/>
        </w:rPr>
        <w:t xml:space="preserve">o los aportes del partícipe independiente a los seguros privados de pensiones, </w:t>
      </w:r>
      <w:r w:rsidRPr="0090099F">
        <w:rPr>
          <w:rFonts w:ascii="Segoe UI" w:eastAsia="Times New Roman" w:hAnsi="Segoe UI" w:cs="Segoe UI"/>
          <w:b/>
          <w:i/>
          <w:color w:val="auto"/>
          <w:szCs w:val="20"/>
          <w:u w:val="single"/>
          <w:lang w:val="es-CO"/>
        </w:rPr>
        <w:t>a los fondos de pensiones voluntarias y obligatorias</w:t>
      </w:r>
      <w:r w:rsidRPr="0090099F">
        <w:rPr>
          <w:rFonts w:ascii="Segoe UI" w:eastAsia="Times New Roman" w:hAnsi="Segoe UI" w:cs="Segoe UI"/>
          <w:b/>
          <w:i/>
          <w:color w:val="auto"/>
          <w:szCs w:val="20"/>
          <w:lang w:val="es-CO"/>
        </w:rPr>
        <w:t xml:space="preserve">, administrados por las entidades vigiladas por la Superintendencia Financiera de Colombia, no harán parte de la base para aplicar la retención en la fuente y </w:t>
      </w:r>
      <w:r w:rsidRPr="0090099F">
        <w:rPr>
          <w:rFonts w:ascii="Segoe UI" w:eastAsia="Times New Roman" w:hAnsi="Segoe UI" w:cs="Segoe UI"/>
          <w:b/>
          <w:i/>
          <w:color w:val="auto"/>
          <w:szCs w:val="20"/>
          <w:u w:val="single"/>
          <w:lang w:val="es-CO"/>
        </w:rPr>
        <w:t>serán considerados como una renta exenta</w:t>
      </w:r>
      <w:r w:rsidRPr="0090099F">
        <w:rPr>
          <w:rFonts w:ascii="Segoe UI" w:eastAsia="Times New Roman" w:hAnsi="Segoe UI" w:cs="Segoe UI"/>
          <w:b/>
          <w:i/>
          <w:color w:val="auto"/>
          <w:szCs w:val="20"/>
          <w:lang w:val="es-CO"/>
        </w:rPr>
        <w:t xml:space="preserve">, </w:t>
      </w:r>
      <w:r w:rsidRPr="0090099F">
        <w:rPr>
          <w:rFonts w:ascii="Segoe UI" w:eastAsia="Times New Roman" w:hAnsi="Segoe UI" w:cs="Segoe UI"/>
          <w:i/>
          <w:color w:val="auto"/>
          <w:szCs w:val="20"/>
          <w:lang w:val="es-CO"/>
        </w:rPr>
        <w:t>hasta una suma que adicionada al valor de los aportes a las Cuentas de Ahorro para el Fomento de la Construcción (AFC) de que trata el artículo 126-4 de este Estatuto, no exceda del treinta por ciento (30%) del ingreso laboral o ingreso tributario del año, según el caso, y hasta un monto máximo de tres mil ochocientas (3.800) UVT por año …” (subraya y negrilla fuera de texto).</w:t>
      </w:r>
    </w:p>
    <w:p w:rsidR="0090099F" w:rsidRPr="0090099F" w:rsidRDefault="0090099F" w:rsidP="0090099F">
      <w:pPr>
        <w:spacing w:line="240" w:lineRule="auto"/>
        <w:rPr>
          <w:rFonts w:eastAsia="Times New Roman" w:cs="Times New Roman"/>
          <w:color w:val="auto"/>
          <w:szCs w:val="24"/>
          <w:lang w:val="es-CO"/>
        </w:rPr>
      </w:pPr>
      <w:r w:rsidRPr="0090099F">
        <w:rPr>
          <w:rFonts w:ascii="Segoe UI" w:eastAsia="Times New Roman" w:hAnsi="Segoe UI" w:cs="Segoe UI"/>
          <w:color w:val="auto"/>
          <w:szCs w:val="20"/>
          <w:lang w:val="es-CO"/>
        </w:rPr>
        <w:t> </w:t>
      </w:r>
    </w:p>
    <w:p w:rsidR="0090099F" w:rsidRPr="0090099F" w:rsidRDefault="0090099F" w:rsidP="0090099F">
      <w:pPr>
        <w:spacing w:line="240" w:lineRule="auto"/>
        <w:rPr>
          <w:rFonts w:eastAsia="Times New Roman" w:cs="Times New Roman"/>
          <w:color w:val="auto"/>
          <w:szCs w:val="24"/>
          <w:lang w:val="es-CO"/>
        </w:rPr>
      </w:pPr>
      <w:r w:rsidRPr="0090099F">
        <w:rPr>
          <w:rFonts w:ascii="Segoe UI" w:eastAsia="Times New Roman" w:hAnsi="Segoe UI" w:cs="Segoe UI"/>
          <w:color w:val="auto"/>
          <w:szCs w:val="20"/>
          <w:lang w:val="es-CO"/>
        </w:rPr>
        <w:t xml:space="preserve">La norma antes citada de manera expresa estipula que </w:t>
      </w:r>
      <w:r w:rsidRPr="0090099F">
        <w:rPr>
          <w:rFonts w:ascii="Segoe UI" w:eastAsia="Times New Roman" w:hAnsi="Segoe UI" w:cs="Segoe UI"/>
          <w:b/>
          <w:color w:val="auto"/>
          <w:szCs w:val="20"/>
          <w:lang w:val="es-CO"/>
        </w:rPr>
        <w:t xml:space="preserve">los aportes voluntarios </w:t>
      </w:r>
      <w:r w:rsidRPr="0090099F">
        <w:rPr>
          <w:rFonts w:ascii="Segoe UI" w:eastAsia="Times New Roman" w:hAnsi="Segoe UI" w:cs="Segoe UI"/>
          <w:color w:val="auto"/>
          <w:szCs w:val="20"/>
          <w:lang w:val="es-CO"/>
        </w:rPr>
        <w:t xml:space="preserve">realizados a los fondos de pensiones voluntarias y obligatorias serán considerados como una </w:t>
      </w:r>
      <w:r w:rsidRPr="0090099F">
        <w:rPr>
          <w:rFonts w:ascii="Segoe UI" w:eastAsia="Times New Roman" w:hAnsi="Segoe UI" w:cs="Segoe UI"/>
          <w:b/>
          <w:color w:val="auto"/>
          <w:szCs w:val="20"/>
          <w:lang w:val="es-CO"/>
        </w:rPr>
        <w:t>renta exenta.</w:t>
      </w:r>
    </w:p>
    <w:p w:rsidR="0090099F" w:rsidRPr="0090099F" w:rsidRDefault="0090099F" w:rsidP="0090099F">
      <w:pPr>
        <w:spacing w:line="240" w:lineRule="auto"/>
        <w:rPr>
          <w:rFonts w:eastAsia="Times New Roman" w:cs="Times New Roman"/>
          <w:color w:val="auto"/>
          <w:szCs w:val="24"/>
          <w:lang w:val="es-CO"/>
        </w:rPr>
      </w:pPr>
      <w:r w:rsidRPr="0090099F">
        <w:rPr>
          <w:rFonts w:ascii="Segoe UI" w:eastAsia="Times New Roman" w:hAnsi="Segoe UI" w:cs="Segoe UI"/>
          <w:color w:val="auto"/>
          <w:szCs w:val="20"/>
          <w:lang w:val="es-CO"/>
        </w:rPr>
        <w:t> </w:t>
      </w:r>
    </w:p>
    <w:p w:rsidR="0090099F" w:rsidRPr="0090099F" w:rsidRDefault="0090099F" w:rsidP="0090099F">
      <w:pPr>
        <w:spacing w:line="240" w:lineRule="auto"/>
        <w:rPr>
          <w:rFonts w:eastAsia="Times New Roman" w:cs="Times New Roman"/>
          <w:color w:val="auto"/>
          <w:szCs w:val="24"/>
          <w:lang w:val="es-CO"/>
        </w:rPr>
      </w:pPr>
      <w:r w:rsidRPr="0090099F">
        <w:rPr>
          <w:rFonts w:ascii="Segoe UI" w:eastAsia="Times New Roman" w:hAnsi="Segoe UI" w:cs="Segoe UI"/>
          <w:color w:val="auto"/>
          <w:szCs w:val="20"/>
          <w:lang w:val="es-CO"/>
        </w:rPr>
        <w:t xml:space="preserve">Así mismo, la Ley 1819 de 2016 señaló que los </w:t>
      </w:r>
      <w:r w:rsidRPr="0090099F">
        <w:rPr>
          <w:rFonts w:ascii="Segoe UI" w:eastAsia="Times New Roman" w:hAnsi="Segoe UI" w:cs="Segoe UI"/>
          <w:b/>
          <w:color w:val="auto"/>
          <w:szCs w:val="20"/>
          <w:lang w:val="es-CO"/>
        </w:rPr>
        <w:t xml:space="preserve">aportes obligatorios </w:t>
      </w:r>
      <w:r w:rsidRPr="0090099F">
        <w:rPr>
          <w:rFonts w:ascii="Segoe UI" w:eastAsia="Times New Roman" w:hAnsi="Segoe UI" w:cs="Segoe UI"/>
          <w:color w:val="auto"/>
          <w:szCs w:val="20"/>
          <w:lang w:val="es-CO"/>
        </w:rPr>
        <w:t xml:space="preserve">al Sistema General de Pensiones serán considerados como </w:t>
      </w:r>
      <w:r w:rsidRPr="0090099F">
        <w:rPr>
          <w:rFonts w:ascii="Segoe UI" w:eastAsia="Times New Roman" w:hAnsi="Segoe UI" w:cs="Segoe UI"/>
          <w:b/>
          <w:color w:val="auto"/>
          <w:szCs w:val="20"/>
          <w:lang w:val="es-CO"/>
        </w:rPr>
        <w:t xml:space="preserve">un ingreso no constitutivo de renta ni de ganancia ocasional, </w:t>
      </w:r>
      <w:r w:rsidRPr="0090099F">
        <w:rPr>
          <w:rFonts w:ascii="Segoe UI" w:eastAsia="Times New Roman" w:hAnsi="Segoe UI" w:cs="Segoe UI"/>
          <w:color w:val="auto"/>
          <w:szCs w:val="20"/>
          <w:lang w:val="es-CO"/>
        </w:rPr>
        <w:t>de conformidad con lo establecido en los artículos 12 y 13, así:</w:t>
      </w:r>
    </w:p>
    <w:p w:rsidR="0090099F" w:rsidRPr="0090099F" w:rsidRDefault="0090099F" w:rsidP="0090099F">
      <w:pPr>
        <w:spacing w:line="240" w:lineRule="auto"/>
        <w:ind w:left="420"/>
        <w:rPr>
          <w:rFonts w:eastAsia="Times New Roman" w:cs="Times New Roman"/>
          <w:color w:val="auto"/>
          <w:szCs w:val="24"/>
          <w:lang w:val="es-CO"/>
        </w:rPr>
      </w:pPr>
      <w:r w:rsidRPr="0090099F">
        <w:rPr>
          <w:rFonts w:ascii="Segoe UI" w:eastAsia="Times New Roman" w:hAnsi="Segoe UI" w:cs="Segoe UI"/>
          <w:i/>
          <w:color w:val="auto"/>
          <w:szCs w:val="20"/>
          <w:lang w:val="es-CO"/>
        </w:rPr>
        <w:t> </w:t>
      </w:r>
    </w:p>
    <w:p w:rsidR="0090099F" w:rsidRPr="0090099F" w:rsidRDefault="0090099F" w:rsidP="0090099F">
      <w:pPr>
        <w:spacing w:line="240" w:lineRule="auto"/>
        <w:ind w:left="420"/>
        <w:rPr>
          <w:rFonts w:eastAsia="Times New Roman" w:cs="Times New Roman"/>
          <w:color w:val="auto"/>
          <w:szCs w:val="24"/>
          <w:lang w:val="es-CO"/>
        </w:rPr>
      </w:pPr>
      <w:r w:rsidRPr="0090099F">
        <w:rPr>
          <w:rFonts w:ascii="Segoe UI" w:eastAsia="Times New Roman" w:hAnsi="Segoe UI" w:cs="Segoe UI"/>
          <w:i/>
          <w:color w:val="auto"/>
          <w:szCs w:val="20"/>
          <w:lang w:val="es-CO"/>
        </w:rPr>
        <w:t>“ARTÍCULO 12º. Modifíquese el parágrafo 1 del artículo 135 de la Ley 100 de 1993, el cual quedará así:</w:t>
      </w:r>
    </w:p>
    <w:p w:rsidR="0090099F" w:rsidRPr="0090099F" w:rsidRDefault="0090099F" w:rsidP="0090099F">
      <w:pPr>
        <w:spacing w:line="240" w:lineRule="auto"/>
        <w:ind w:left="420"/>
        <w:rPr>
          <w:rFonts w:eastAsia="Times New Roman" w:cs="Times New Roman"/>
          <w:color w:val="auto"/>
          <w:szCs w:val="24"/>
          <w:lang w:val="es-CO"/>
        </w:rPr>
      </w:pPr>
      <w:r w:rsidRPr="0090099F">
        <w:rPr>
          <w:rFonts w:ascii="Segoe UI" w:eastAsia="Times New Roman" w:hAnsi="Segoe UI" w:cs="Segoe UI"/>
          <w:i/>
          <w:color w:val="auto"/>
          <w:szCs w:val="20"/>
          <w:lang w:val="es-CO"/>
        </w:rPr>
        <w:t> </w:t>
      </w:r>
    </w:p>
    <w:p w:rsidR="0090099F" w:rsidRPr="0090099F" w:rsidRDefault="0090099F" w:rsidP="0090099F">
      <w:pPr>
        <w:spacing w:line="240" w:lineRule="auto"/>
        <w:ind w:left="420"/>
        <w:rPr>
          <w:rFonts w:eastAsia="Times New Roman" w:cs="Times New Roman"/>
          <w:color w:val="auto"/>
          <w:szCs w:val="24"/>
          <w:lang w:val="es-CO"/>
        </w:rPr>
      </w:pPr>
      <w:r w:rsidRPr="0090099F">
        <w:rPr>
          <w:rFonts w:ascii="Segoe UI" w:eastAsia="Times New Roman" w:hAnsi="Segoe UI" w:cs="Segoe UI"/>
          <w:i/>
          <w:color w:val="auto"/>
          <w:szCs w:val="20"/>
          <w:lang w:val="es-CO"/>
        </w:rPr>
        <w:t xml:space="preserve">PARÁGRAFO 1º. </w:t>
      </w:r>
      <w:r w:rsidRPr="0090099F">
        <w:rPr>
          <w:rFonts w:ascii="Segoe UI" w:eastAsia="Times New Roman" w:hAnsi="Segoe UI" w:cs="Segoe UI"/>
          <w:b/>
          <w:i/>
          <w:color w:val="auto"/>
          <w:szCs w:val="20"/>
          <w:u w:val="single"/>
          <w:lang w:val="es-CO"/>
        </w:rPr>
        <w:t>Los aportes obligatorios que se efectúen al sistema general de pensiones</w:t>
      </w:r>
      <w:r w:rsidRPr="0090099F">
        <w:rPr>
          <w:rFonts w:ascii="Segoe UI" w:eastAsia="Times New Roman" w:hAnsi="Segoe UI" w:cs="Segoe UI"/>
          <w:b/>
          <w:i/>
          <w:color w:val="auto"/>
          <w:szCs w:val="20"/>
          <w:lang w:val="es-CO"/>
        </w:rPr>
        <w:t xml:space="preserve"> </w:t>
      </w:r>
      <w:r w:rsidRPr="0090099F">
        <w:rPr>
          <w:rFonts w:ascii="Segoe UI" w:eastAsia="Times New Roman" w:hAnsi="Segoe UI" w:cs="Segoe UI"/>
          <w:i/>
          <w:color w:val="auto"/>
          <w:szCs w:val="20"/>
          <w:lang w:val="es-CO"/>
        </w:rPr>
        <w:t xml:space="preserve">no harán parte de la base para aplicar la retención en la fuente por rentas de trabajo </w:t>
      </w:r>
      <w:r w:rsidRPr="0090099F">
        <w:rPr>
          <w:rFonts w:ascii="Segoe UI" w:eastAsia="Times New Roman" w:hAnsi="Segoe UI" w:cs="Segoe UI"/>
          <w:b/>
          <w:i/>
          <w:color w:val="auto"/>
          <w:szCs w:val="20"/>
          <w:lang w:val="es-CO"/>
        </w:rPr>
        <w:t xml:space="preserve">y </w:t>
      </w:r>
      <w:r w:rsidRPr="0090099F">
        <w:rPr>
          <w:rFonts w:ascii="Segoe UI" w:eastAsia="Times New Roman" w:hAnsi="Segoe UI" w:cs="Segoe UI"/>
          <w:b/>
          <w:i/>
          <w:color w:val="auto"/>
          <w:szCs w:val="20"/>
          <w:u w:val="single"/>
          <w:lang w:val="es-CO"/>
        </w:rPr>
        <w:t>serán considerados como un ingreso no constitutivo de renta ni de ganancia ocasional</w:t>
      </w:r>
      <w:r w:rsidRPr="0090099F">
        <w:rPr>
          <w:rFonts w:ascii="Segoe UI" w:eastAsia="Times New Roman" w:hAnsi="Segoe UI" w:cs="Segoe UI"/>
          <w:b/>
          <w:i/>
          <w:color w:val="auto"/>
          <w:szCs w:val="20"/>
          <w:lang w:val="es-CO"/>
        </w:rPr>
        <w:t xml:space="preserve">. </w:t>
      </w:r>
      <w:r w:rsidRPr="0090099F">
        <w:rPr>
          <w:rFonts w:ascii="Segoe UI" w:eastAsia="Times New Roman" w:hAnsi="Segoe UI" w:cs="Segoe UI"/>
          <w:i/>
          <w:color w:val="auto"/>
          <w:szCs w:val="20"/>
          <w:lang w:val="es-CO"/>
        </w:rPr>
        <w:t>Los aportes a cargo del empleador serán deducibles de su renta. Los aportes voluntarios se someten a lo previsto en el artículo 55 del Estatuto Tributario.</w:t>
      </w:r>
    </w:p>
    <w:p w:rsidR="0090099F" w:rsidRPr="0090099F" w:rsidRDefault="0090099F" w:rsidP="0090099F">
      <w:pPr>
        <w:spacing w:line="240" w:lineRule="auto"/>
        <w:ind w:left="420"/>
        <w:rPr>
          <w:rFonts w:eastAsia="Times New Roman" w:cs="Times New Roman"/>
          <w:color w:val="auto"/>
          <w:szCs w:val="24"/>
          <w:lang w:val="es-CO"/>
        </w:rPr>
      </w:pPr>
      <w:r w:rsidRPr="0090099F">
        <w:rPr>
          <w:rFonts w:ascii="Segoe UI" w:eastAsia="Times New Roman" w:hAnsi="Segoe UI" w:cs="Segoe UI"/>
          <w:i/>
          <w:color w:val="auto"/>
          <w:szCs w:val="20"/>
          <w:lang w:val="es-CO"/>
        </w:rPr>
        <w:t> </w:t>
      </w:r>
    </w:p>
    <w:p w:rsidR="0090099F" w:rsidRPr="0090099F" w:rsidRDefault="0090099F" w:rsidP="0090099F">
      <w:pPr>
        <w:spacing w:line="240" w:lineRule="auto"/>
        <w:ind w:left="420"/>
        <w:rPr>
          <w:rFonts w:eastAsia="Times New Roman" w:cs="Times New Roman"/>
          <w:color w:val="auto"/>
          <w:szCs w:val="24"/>
          <w:lang w:val="es-CO"/>
        </w:rPr>
      </w:pPr>
      <w:r w:rsidRPr="0090099F">
        <w:rPr>
          <w:rFonts w:ascii="Segoe UI" w:eastAsia="Times New Roman" w:hAnsi="Segoe UI" w:cs="Segoe UI"/>
          <w:i/>
          <w:color w:val="auto"/>
          <w:szCs w:val="20"/>
          <w:lang w:val="es-CO"/>
        </w:rPr>
        <w:t>ARTÍCULO 13º. Adiciónese el artículo 55 del Estatuto Tributario el cual quedará así:</w:t>
      </w:r>
    </w:p>
    <w:p w:rsidR="0090099F" w:rsidRPr="0090099F" w:rsidRDefault="0090099F" w:rsidP="0090099F">
      <w:pPr>
        <w:spacing w:line="240" w:lineRule="auto"/>
        <w:ind w:left="420"/>
        <w:rPr>
          <w:rFonts w:eastAsia="Times New Roman" w:cs="Times New Roman"/>
          <w:color w:val="auto"/>
          <w:szCs w:val="24"/>
          <w:lang w:val="es-CO"/>
        </w:rPr>
      </w:pPr>
      <w:r w:rsidRPr="0090099F">
        <w:rPr>
          <w:rFonts w:ascii="Segoe UI" w:eastAsia="Times New Roman" w:hAnsi="Segoe UI" w:cs="Segoe UI"/>
          <w:i/>
          <w:color w:val="auto"/>
          <w:szCs w:val="20"/>
          <w:lang w:val="es-CO"/>
        </w:rPr>
        <w:t> </w:t>
      </w:r>
    </w:p>
    <w:p w:rsidR="0090099F" w:rsidRPr="0090099F" w:rsidRDefault="0090099F" w:rsidP="0090099F">
      <w:pPr>
        <w:spacing w:line="240" w:lineRule="auto"/>
        <w:ind w:left="420"/>
        <w:rPr>
          <w:rFonts w:eastAsia="Times New Roman" w:cs="Times New Roman"/>
          <w:color w:val="auto"/>
          <w:szCs w:val="24"/>
          <w:lang w:val="es-CO"/>
        </w:rPr>
      </w:pPr>
      <w:r w:rsidRPr="0090099F">
        <w:rPr>
          <w:rFonts w:ascii="Segoe UI" w:eastAsia="Times New Roman" w:hAnsi="Segoe UI" w:cs="Segoe UI"/>
          <w:i/>
          <w:color w:val="auto"/>
          <w:szCs w:val="20"/>
          <w:lang w:val="es-CO"/>
        </w:rPr>
        <w:t xml:space="preserve">ARTÍCULO 55. APORTES AL SISTEMA GENERAL DE PENSIONES. </w:t>
      </w:r>
      <w:r w:rsidRPr="0090099F">
        <w:rPr>
          <w:rFonts w:ascii="Segoe UI" w:eastAsia="Times New Roman" w:hAnsi="Segoe UI" w:cs="Segoe UI"/>
          <w:b/>
          <w:i/>
          <w:color w:val="auto"/>
          <w:szCs w:val="20"/>
          <w:lang w:val="es-CO"/>
        </w:rPr>
        <w:t xml:space="preserve">Los aportes obligatorios que efectúen los trabajadores, empleadores y afiliados al Sistema General de Seguridad Social en Pensiones </w:t>
      </w:r>
      <w:r w:rsidRPr="0090099F">
        <w:rPr>
          <w:rFonts w:ascii="Segoe UI" w:eastAsia="Times New Roman" w:hAnsi="Segoe UI" w:cs="Segoe UI"/>
          <w:i/>
          <w:color w:val="auto"/>
          <w:szCs w:val="20"/>
          <w:lang w:val="es-CO"/>
        </w:rPr>
        <w:t xml:space="preserve">no harán parte de la base para aplicar la retención en la fuente por rentas de trabajo </w:t>
      </w:r>
      <w:r w:rsidRPr="0090099F">
        <w:rPr>
          <w:rFonts w:ascii="Segoe UI" w:eastAsia="Times New Roman" w:hAnsi="Segoe UI" w:cs="Segoe UI"/>
          <w:b/>
          <w:i/>
          <w:color w:val="auto"/>
          <w:szCs w:val="20"/>
          <w:lang w:val="es-CO"/>
        </w:rPr>
        <w:t xml:space="preserve">y </w:t>
      </w:r>
      <w:r w:rsidRPr="0090099F">
        <w:rPr>
          <w:rFonts w:ascii="Segoe UI" w:eastAsia="Times New Roman" w:hAnsi="Segoe UI" w:cs="Segoe UI"/>
          <w:b/>
          <w:i/>
          <w:color w:val="auto"/>
          <w:szCs w:val="20"/>
          <w:u w:val="single"/>
          <w:lang w:val="es-CO"/>
        </w:rPr>
        <w:t>serán considerados como un ingreso no constitutivo ni de ganancia ocasional</w:t>
      </w:r>
      <w:r w:rsidRPr="0090099F">
        <w:rPr>
          <w:rFonts w:ascii="Segoe UI" w:eastAsia="Times New Roman" w:hAnsi="Segoe UI" w:cs="Segoe UI"/>
          <w:b/>
          <w:i/>
          <w:color w:val="auto"/>
          <w:szCs w:val="20"/>
          <w:lang w:val="es-CO"/>
        </w:rPr>
        <w:t xml:space="preserve">. </w:t>
      </w:r>
      <w:r w:rsidRPr="0090099F">
        <w:rPr>
          <w:rFonts w:ascii="Segoe UI" w:eastAsia="Times New Roman" w:hAnsi="Segoe UI" w:cs="Segoe UI"/>
          <w:i/>
          <w:color w:val="auto"/>
          <w:szCs w:val="20"/>
          <w:lang w:val="es-CO"/>
        </w:rPr>
        <w:t xml:space="preserve">Los retiros, parciales o totales, de las cotizaciones voluntarias de los afiliados al régimen de ahorro individual con solidaridad para fines distintos a la obtención de una mayor pensión o un retiro anticipado constituirán renta gravada en el año en que sean retirados. La respectiva sociedad administradora efectuará la retención en la </w:t>
      </w:r>
      <w:r w:rsidRPr="0090099F">
        <w:rPr>
          <w:rFonts w:ascii="Segoe UI" w:eastAsia="Times New Roman" w:hAnsi="Segoe UI" w:cs="Segoe UI"/>
          <w:i/>
          <w:color w:val="auto"/>
          <w:szCs w:val="20"/>
          <w:lang w:val="es-CO"/>
        </w:rPr>
        <w:lastRenderedPageBreak/>
        <w:t>fuente a la tarifa del 15% al momento del retiro.” (subraya y negrilla fuera de texto).</w:t>
      </w:r>
    </w:p>
    <w:p w:rsidR="0090099F" w:rsidRPr="0090099F" w:rsidRDefault="0090099F" w:rsidP="0090099F">
      <w:pPr>
        <w:spacing w:line="240" w:lineRule="auto"/>
        <w:rPr>
          <w:rFonts w:eastAsia="Times New Roman" w:cs="Times New Roman"/>
          <w:color w:val="auto"/>
          <w:szCs w:val="24"/>
          <w:lang w:val="es-CO"/>
        </w:rPr>
      </w:pPr>
      <w:r w:rsidRPr="0090099F">
        <w:rPr>
          <w:rFonts w:ascii="Segoe UI" w:eastAsia="Times New Roman" w:hAnsi="Segoe UI" w:cs="Segoe UI"/>
          <w:color w:val="auto"/>
          <w:szCs w:val="20"/>
          <w:lang w:val="es-CO"/>
        </w:rPr>
        <w:t> </w:t>
      </w:r>
    </w:p>
    <w:p w:rsidR="0090099F" w:rsidRPr="0090099F" w:rsidRDefault="0090099F" w:rsidP="0090099F">
      <w:pPr>
        <w:spacing w:line="240" w:lineRule="auto"/>
        <w:rPr>
          <w:rFonts w:eastAsia="Times New Roman" w:cs="Times New Roman"/>
          <w:color w:val="auto"/>
          <w:szCs w:val="24"/>
          <w:lang w:val="es-CO"/>
        </w:rPr>
      </w:pPr>
      <w:r w:rsidRPr="0090099F">
        <w:rPr>
          <w:rFonts w:ascii="Segoe UI" w:eastAsia="Times New Roman" w:hAnsi="Segoe UI" w:cs="Segoe UI"/>
          <w:color w:val="auto"/>
          <w:szCs w:val="20"/>
          <w:lang w:val="es-CO"/>
        </w:rPr>
        <w:t>Así las cosas, para este despacho no hay lugar a hablar de un error de técnica legislativa, en tanto, el legislador de manera expresa diferenció la naturaleza de cada uno de los aportes, precisando que los aportes voluntarios a los fondos de pensiones son considerados renta exenta (art. 15 Ley 1819 de 2016) y los aportes obligatorios al Sistema General de Pensiones son ingreso no constitutivo de renta ni de ganancia ocasional.</w:t>
      </w:r>
    </w:p>
    <w:p w:rsidR="0090099F" w:rsidRPr="0090099F" w:rsidRDefault="0090099F" w:rsidP="0090099F">
      <w:pPr>
        <w:spacing w:line="240" w:lineRule="auto"/>
        <w:rPr>
          <w:rFonts w:eastAsia="Times New Roman" w:cs="Times New Roman"/>
          <w:color w:val="auto"/>
          <w:szCs w:val="24"/>
          <w:lang w:val="es-CO"/>
        </w:rPr>
      </w:pPr>
      <w:r w:rsidRPr="0090099F">
        <w:rPr>
          <w:rFonts w:ascii="Segoe UI" w:eastAsia="Times New Roman" w:hAnsi="Segoe UI" w:cs="Segoe UI"/>
          <w:color w:val="auto"/>
          <w:szCs w:val="20"/>
          <w:lang w:val="es-CO"/>
        </w:rPr>
        <w:t> </w:t>
      </w:r>
    </w:p>
    <w:p w:rsidR="0090099F" w:rsidRPr="0090099F" w:rsidRDefault="0090099F" w:rsidP="0090099F">
      <w:pPr>
        <w:spacing w:line="240" w:lineRule="auto"/>
        <w:rPr>
          <w:rFonts w:eastAsia="Times New Roman" w:cs="Times New Roman"/>
          <w:color w:val="auto"/>
          <w:szCs w:val="24"/>
          <w:lang w:val="es-CO"/>
        </w:rPr>
      </w:pPr>
      <w:r w:rsidRPr="0090099F">
        <w:rPr>
          <w:rFonts w:ascii="Segoe UI" w:eastAsia="Times New Roman" w:hAnsi="Segoe UI" w:cs="Segoe UI"/>
          <w:color w:val="auto"/>
          <w:szCs w:val="20"/>
          <w:lang w:val="es-CO"/>
        </w:rPr>
        <w:t xml:space="preserve">Ello es así, además porque en el Sistema General de Pensiones Colombiano existen dos tipos de aportes, los aportes obligatorios que son los realizados por los trabadores y empleadores por los montos y porcentajes al Sistema de conformidad con la normatividad que regula la materia, y los aportes voluntarios que, como su nombre lo indica son un aporte adicional y </w:t>
      </w:r>
      <w:r w:rsidRPr="0090099F">
        <w:rPr>
          <w:rFonts w:ascii="Segoe UI" w:eastAsia="Times New Roman" w:hAnsi="Segoe UI" w:cs="Segoe UI"/>
          <w:b/>
          <w:color w:val="auto"/>
          <w:szCs w:val="20"/>
          <w:lang w:val="es-CO"/>
        </w:rPr>
        <w:t xml:space="preserve">voluntario </w:t>
      </w:r>
      <w:r w:rsidRPr="0090099F">
        <w:rPr>
          <w:rFonts w:ascii="Segoe UI" w:eastAsia="Times New Roman" w:hAnsi="Segoe UI" w:cs="Segoe UI"/>
          <w:color w:val="auto"/>
          <w:szCs w:val="20"/>
          <w:lang w:val="es-CO"/>
        </w:rPr>
        <w:t>que realizan el trabajador, el empleador o el participe independiente.</w:t>
      </w:r>
    </w:p>
    <w:p w:rsidR="0090099F" w:rsidRPr="0090099F" w:rsidRDefault="0090099F" w:rsidP="0090099F">
      <w:pPr>
        <w:spacing w:line="240" w:lineRule="auto"/>
        <w:rPr>
          <w:rFonts w:eastAsia="Times New Roman" w:cs="Times New Roman"/>
          <w:color w:val="auto"/>
          <w:szCs w:val="24"/>
          <w:lang w:val="es-CO"/>
        </w:rPr>
      </w:pPr>
      <w:r w:rsidRPr="0090099F">
        <w:rPr>
          <w:rFonts w:ascii="Segoe UI" w:eastAsia="Times New Roman" w:hAnsi="Segoe UI" w:cs="Segoe UI"/>
          <w:color w:val="auto"/>
          <w:szCs w:val="20"/>
          <w:lang w:val="es-CO"/>
        </w:rPr>
        <w:t> </w:t>
      </w:r>
    </w:p>
    <w:p w:rsidR="0090099F" w:rsidRPr="0090099F" w:rsidRDefault="0090099F" w:rsidP="0090099F">
      <w:pPr>
        <w:spacing w:line="240" w:lineRule="auto"/>
        <w:rPr>
          <w:rFonts w:eastAsia="Times New Roman" w:cs="Times New Roman"/>
          <w:color w:val="auto"/>
          <w:szCs w:val="24"/>
          <w:lang w:val="es-CO"/>
        </w:rPr>
      </w:pPr>
      <w:r w:rsidRPr="0090099F">
        <w:rPr>
          <w:rFonts w:ascii="Segoe UI" w:eastAsia="Times New Roman" w:hAnsi="Segoe UI" w:cs="Segoe UI"/>
          <w:color w:val="auto"/>
          <w:szCs w:val="20"/>
          <w:lang w:val="es-CO"/>
        </w:rPr>
        <w:t>Justamente, si bien es cierto que la legislación y la doctrina han establecido diversos criterios de interpretación de las disposiciones jurídicas a fin de desentrañar pasajes oscuros de las normas o de servir de instrumentos para atribuir determinado significado, éstos resultan útiles cuando es viable su utilización, situación que no se da en el presente caso habida cuenta que en los artículos arriba estudiados se debe atender el sentido natural y obvio de las palabras, y no las conclusiones finalistas expuestas por el consultante sobre los antecedentes de la norma.</w:t>
      </w:r>
    </w:p>
    <w:p w:rsidR="0090099F" w:rsidRPr="0090099F" w:rsidRDefault="0090099F" w:rsidP="0090099F">
      <w:pPr>
        <w:spacing w:line="240" w:lineRule="auto"/>
        <w:rPr>
          <w:rFonts w:eastAsia="Times New Roman" w:cs="Times New Roman"/>
          <w:color w:val="auto"/>
          <w:szCs w:val="24"/>
          <w:lang w:val="es-CO"/>
        </w:rPr>
      </w:pPr>
      <w:r w:rsidRPr="0090099F">
        <w:rPr>
          <w:rFonts w:ascii="Segoe UI" w:eastAsia="Times New Roman" w:hAnsi="Segoe UI" w:cs="Segoe UI"/>
          <w:color w:val="auto"/>
          <w:szCs w:val="20"/>
          <w:lang w:val="es-CO"/>
        </w:rPr>
        <w:t> </w:t>
      </w:r>
    </w:p>
    <w:p w:rsidR="0090099F" w:rsidRPr="0090099F" w:rsidRDefault="0090099F" w:rsidP="0090099F">
      <w:pPr>
        <w:spacing w:line="240" w:lineRule="auto"/>
        <w:rPr>
          <w:rFonts w:eastAsia="Times New Roman" w:cs="Times New Roman"/>
          <w:color w:val="auto"/>
          <w:szCs w:val="24"/>
          <w:lang w:val="es-CO"/>
        </w:rPr>
      </w:pPr>
      <w:r w:rsidRPr="0090099F">
        <w:rPr>
          <w:rFonts w:ascii="Segoe UI" w:eastAsia="Times New Roman" w:hAnsi="Segoe UI" w:cs="Segoe UI"/>
          <w:color w:val="auto"/>
          <w:szCs w:val="20"/>
          <w:lang w:val="es-CO"/>
        </w:rPr>
        <w:t xml:space="preserve">Finalmente, es de precisar que mediante el Decreto 2250 de diciembre 29/2017, el tema sobre su particular quedo </w:t>
      </w:r>
      <w:proofErr w:type="spellStart"/>
      <w:r w:rsidRPr="0090099F">
        <w:rPr>
          <w:rFonts w:ascii="Segoe UI" w:eastAsia="Times New Roman" w:hAnsi="Segoe UI" w:cs="Segoe UI"/>
          <w:color w:val="auto"/>
          <w:szCs w:val="20"/>
          <w:lang w:val="es-CO"/>
        </w:rPr>
        <w:t>sanjado</w:t>
      </w:r>
      <w:proofErr w:type="spellEnd"/>
      <w:r w:rsidRPr="0090099F">
        <w:rPr>
          <w:rFonts w:ascii="Segoe UI" w:eastAsia="Times New Roman" w:hAnsi="Segoe UI" w:cs="Segoe UI"/>
          <w:color w:val="auto"/>
          <w:szCs w:val="20"/>
          <w:lang w:val="es-CO"/>
        </w:rPr>
        <w:t>, por tal motivo se le invita a consultar su contenido.</w:t>
      </w:r>
    </w:p>
    <w:p w:rsidR="0090099F" w:rsidRPr="0090099F" w:rsidRDefault="0090099F" w:rsidP="0090099F">
      <w:pPr>
        <w:spacing w:line="240" w:lineRule="auto"/>
        <w:rPr>
          <w:rFonts w:eastAsia="Times New Roman" w:cs="Times New Roman"/>
          <w:color w:val="auto"/>
          <w:szCs w:val="24"/>
          <w:lang w:val="es-CO"/>
        </w:rPr>
      </w:pPr>
      <w:r w:rsidRPr="0090099F">
        <w:rPr>
          <w:rFonts w:ascii="Segoe UI" w:eastAsia="Times New Roman" w:hAnsi="Segoe UI" w:cs="Segoe UI"/>
          <w:color w:val="auto"/>
          <w:szCs w:val="20"/>
          <w:lang w:val="es-CO"/>
        </w:rPr>
        <w:t> </w:t>
      </w:r>
    </w:p>
    <w:p w:rsidR="0090099F" w:rsidRPr="0090099F" w:rsidRDefault="0090099F" w:rsidP="0090099F">
      <w:pPr>
        <w:spacing w:line="240" w:lineRule="auto"/>
        <w:rPr>
          <w:rFonts w:eastAsia="Times New Roman" w:cs="Times New Roman"/>
          <w:color w:val="auto"/>
          <w:szCs w:val="24"/>
          <w:lang w:val="es-CO"/>
        </w:rPr>
      </w:pPr>
      <w:bookmarkStart w:id="0" w:name="_GoBack"/>
      <w:bookmarkEnd w:id="0"/>
      <w:r w:rsidRPr="0090099F">
        <w:rPr>
          <w:rFonts w:ascii="Segoe UI" w:eastAsia="Times New Roman" w:hAnsi="Segoe UI" w:cs="Segoe UI"/>
          <w:color w:val="auto"/>
          <w:szCs w:val="20"/>
          <w:lang w:val="es-CO"/>
        </w:rPr>
        <w:t>Atentamente,</w:t>
      </w:r>
    </w:p>
    <w:p w:rsidR="0090099F" w:rsidRPr="0090099F" w:rsidRDefault="0090099F" w:rsidP="0090099F">
      <w:pPr>
        <w:spacing w:line="240" w:lineRule="auto"/>
        <w:rPr>
          <w:rFonts w:eastAsia="Times New Roman" w:cs="Times New Roman"/>
          <w:color w:val="auto"/>
          <w:szCs w:val="24"/>
          <w:lang w:val="es-CO"/>
        </w:rPr>
      </w:pPr>
      <w:r w:rsidRPr="0090099F">
        <w:rPr>
          <w:rFonts w:ascii="Segoe UI" w:eastAsia="Times New Roman" w:hAnsi="Segoe UI" w:cs="Segoe UI"/>
          <w:color w:val="auto"/>
          <w:szCs w:val="20"/>
          <w:lang w:val="es-CO"/>
        </w:rPr>
        <w:t> </w:t>
      </w:r>
    </w:p>
    <w:p w:rsidR="0090099F" w:rsidRPr="0090099F" w:rsidRDefault="0090099F" w:rsidP="0090099F">
      <w:pPr>
        <w:spacing w:line="240" w:lineRule="auto"/>
        <w:rPr>
          <w:rFonts w:eastAsia="Times New Roman" w:cs="Times New Roman"/>
          <w:color w:val="auto"/>
          <w:szCs w:val="24"/>
          <w:lang w:val="es-CO"/>
        </w:rPr>
      </w:pPr>
      <w:r w:rsidRPr="0090099F">
        <w:rPr>
          <w:rFonts w:ascii="Segoe UI" w:eastAsia="Times New Roman" w:hAnsi="Segoe UI" w:cs="Segoe UI"/>
          <w:color w:val="auto"/>
          <w:szCs w:val="20"/>
          <w:lang w:val="es-CO"/>
        </w:rPr>
        <w:t> </w:t>
      </w:r>
    </w:p>
    <w:p w:rsidR="0090099F" w:rsidRPr="0090099F" w:rsidRDefault="0090099F" w:rsidP="0090099F">
      <w:pPr>
        <w:spacing w:line="240" w:lineRule="auto"/>
        <w:rPr>
          <w:rFonts w:eastAsia="Times New Roman" w:cs="Times New Roman"/>
          <w:color w:val="auto"/>
          <w:szCs w:val="24"/>
          <w:lang w:val="es-CO"/>
        </w:rPr>
      </w:pPr>
      <w:r w:rsidRPr="0090099F">
        <w:rPr>
          <w:rFonts w:ascii="Segoe UI" w:eastAsia="Times New Roman" w:hAnsi="Segoe UI" w:cs="Segoe UI"/>
          <w:b/>
          <w:color w:val="auto"/>
          <w:szCs w:val="20"/>
          <w:lang w:val="es-CO"/>
        </w:rPr>
        <w:t>PEDRO PABLO CONTRERAS CAMARGO</w:t>
      </w:r>
    </w:p>
    <w:p w:rsidR="0090099F" w:rsidRPr="0090099F" w:rsidRDefault="0090099F" w:rsidP="0090099F">
      <w:pPr>
        <w:spacing w:line="240" w:lineRule="auto"/>
        <w:rPr>
          <w:rFonts w:eastAsia="Times New Roman" w:cs="Times New Roman"/>
          <w:color w:val="auto"/>
          <w:szCs w:val="24"/>
          <w:lang w:val="es-CO"/>
        </w:rPr>
      </w:pPr>
      <w:r w:rsidRPr="0090099F">
        <w:rPr>
          <w:rFonts w:ascii="Segoe UI" w:eastAsia="Times New Roman" w:hAnsi="Segoe UI" w:cs="Segoe UI"/>
          <w:color w:val="auto"/>
          <w:szCs w:val="20"/>
          <w:lang w:val="es-CO"/>
        </w:rPr>
        <w:t>Subdirector de Gestión Normativa y Doctrina</w:t>
      </w:r>
    </w:p>
    <w:p w:rsidR="00147980" w:rsidRPr="0090099F" w:rsidRDefault="00147980">
      <w:pPr>
        <w:rPr>
          <w:lang w:val="es-CO"/>
        </w:rPr>
      </w:pPr>
    </w:p>
    <w:sectPr w:rsidR="00147980" w:rsidRPr="0090099F"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9F"/>
    <w:rsid w:val="00147980"/>
    <w:rsid w:val="0090099F"/>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A7553-4768-4826-9777-754A863E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374704">
      <w:bodyDiv w:val="1"/>
      <w:marLeft w:val="240"/>
      <w:marRight w:val="24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1015</Words>
  <Characters>5791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2018-05-30T18:17:00Z</dcterms:created>
  <dcterms:modified xsi:type="dcterms:W3CDTF">2018-05-30T18:19:00Z</dcterms:modified>
</cp:coreProperties>
</file>